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color w:val="000000"/>
        </w:rPr>
      </w:pPr>
      <w:r>
        <w:rPr>
          <w:color w:val="000000"/>
        </w:rPr>
        <w:t xml:space="preserve">Supplementary figure and table captions </w:t>
      </w:r>
    </w:p>
    <w:p>
      <w:pPr>
        <w:rPr>
          <w:color w:val="000000"/>
        </w:rPr>
      </w:pPr>
      <w:r>
        <w:rPr>
          <w:rFonts w:ascii="Arial Bold" w:hAnsi="Arial Bold" w:cs="Arial Bold"/>
          <w:b/>
          <w:bCs/>
          <w:color w:val="000000"/>
        </w:rPr>
        <w:t>Figure S1</w:t>
      </w:r>
      <w:r>
        <w:rPr>
          <w:rFonts w:hint="eastAsia"/>
          <w:color w:val="000000"/>
        </w:rPr>
        <w:t xml:space="preserve"> Absolute standardized differences (ASD) for propensity score weighting</w:t>
      </w:r>
    </w:p>
    <w:p>
      <w:pPr>
        <w:rPr>
          <w:color w:val="000000"/>
        </w:rPr>
      </w:pPr>
      <w:r>
        <w:rPr>
          <w:rFonts w:ascii="Arial Bold" w:hAnsi="Arial Bold" w:cs="Arial Bold"/>
          <w:b/>
          <w:bCs/>
          <w:color w:val="000000"/>
        </w:rPr>
        <w:t>Table S1</w:t>
      </w:r>
      <w:r>
        <w:rPr>
          <w:rFonts w:hint="eastAsia"/>
          <w:color w:val="000000"/>
        </w:rPr>
        <w:t xml:space="preserve"> The WHO identification criteria of </w:t>
      </w:r>
      <w:r>
        <w:rPr>
          <w:color w:val="000000"/>
        </w:rPr>
        <w:t>severe maternal outcomes</w:t>
      </w:r>
    </w:p>
    <w:p>
      <w:pPr>
        <w:rPr>
          <w:color w:val="000000"/>
        </w:rPr>
      </w:pPr>
      <w:r>
        <w:rPr>
          <w:rFonts w:ascii="Arial Bold" w:hAnsi="Arial Bold" w:cs="Arial Bold"/>
          <w:b/>
          <w:bCs/>
          <w:color w:val="000000"/>
        </w:rPr>
        <w:t>Table S2</w:t>
      </w:r>
      <w:r>
        <w:rPr>
          <w:rFonts w:hint="eastAsia"/>
          <w:color w:val="000000"/>
        </w:rPr>
        <w:t xml:space="preserve"> Regression analyses of association between severity of anemia during pregnancy and non-</w:t>
      </w:r>
      <w:r>
        <w:rPr>
          <w:color w:val="000000"/>
        </w:rPr>
        <w:t>massive transfusion severe maternal outcomes</w:t>
      </w:r>
    </w:p>
    <w:p>
      <w:pPr>
        <w:rPr>
          <w:color w:val="000000"/>
        </w:rPr>
      </w:pPr>
      <w:r>
        <w:rPr>
          <w:rFonts w:ascii="Arial Bold" w:hAnsi="Arial Bold" w:cs="Arial Bold"/>
          <w:b/>
          <w:bCs/>
          <w:color w:val="000000"/>
        </w:rPr>
        <w:t>Table S3</w:t>
      </w:r>
      <w:r>
        <w:rPr>
          <w:rFonts w:hint="eastAsia"/>
          <w:color w:val="000000"/>
        </w:rPr>
        <w:t xml:space="preserve"> Adjusted Poisson regression analyses after removing cases of hemorrhagic disorders</w:t>
      </w:r>
    </w:p>
    <w:p>
      <w:pPr>
        <w:pStyle w:val="2"/>
        <w:rPr>
          <w:color w:val="000000"/>
        </w:rPr>
      </w:pPr>
      <w:r>
        <w:rPr>
          <w:color w:val="000000"/>
        </w:rPr>
        <w:t xml:space="preserve">Supplementary figure legends </w:t>
      </w:r>
    </w:p>
    <w:p>
      <w:r>
        <w:rPr>
          <w:rFonts w:ascii="Arial Bold" w:hAnsi="Arial Bold" w:cs="Arial Bold"/>
          <w:b/>
          <w:bCs/>
          <w:color w:val="000000"/>
        </w:rPr>
        <w:t>Figure S1:</w:t>
      </w:r>
      <w:r>
        <w:rPr>
          <w:rFonts w:hint="eastAsia"/>
          <w:color w:val="000000"/>
        </w:rPr>
        <w:t xml:space="preserve"> </w:t>
      </w:r>
      <w:r>
        <w:rPr>
          <w:rFonts w:ascii="Arial Bold" w:hAnsi="Arial Bold" w:cs="Arial Bold"/>
          <w:b/>
          <w:bCs/>
          <w:color w:val="000000"/>
        </w:rPr>
        <w:t>Abbreviations:</w:t>
      </w:r>
      <w:r>
        <w:rPr>
          <w:rFonts w:hint="eastAsia"/>
          <w:color w:val="000000"/>
        </w:rPr>
        <w:t xml:space="preserve"> ES = effect size; KS = Kolmogorov-Smirnof statistic.</w:t>
      </w:r>
      <w:r>
        <w:rPr>
          <w:color w:val="000000"/>
        </w:rPr>
        <w:t xml:space="preserve"> </w:t>
      </w:r>
      <w:r>
        <w:rPr>
          <w:rFonts w:ascii="Arial Bold" w:hAnsi="Arial Bold" w:cs="Arial Bold"/>
          <w:b/>
          <w:bCs/>
          <w:color w:val="000000"/>
        </w:rPr>
        <w:t>Notes:</w:t>
      </w:r>
      <w:r>
        <w:rPr>
          <w:rFonts w:hint="eastAsia"/>
          <w:color w:val="000000"/>
        </w:rPr>
        <w:t xml:space="preserve"> The light blue line represents the covariates for which the maximum pairwise ASD reduced after weighting. The red lines mean the covariates for which the maximum pairwise ASMD increased after weighting. A good balance is obtained when, after weighting in the majority of variables the ASDs are lower than 0.20 and there is a prevalence of light blue lines.</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汉仪中黑KW">
    <w:panose1 w:val="00020600040101010101"/>
    <w:charset w:val="86"/>
    <w:family w:val="auto"/>
    <w:pitch w:val="default"/>
    <w:sig w:usb0="00000000" w:usb1="00000000" w:usb2="00000000" w:usb3="00000000" w:csb0="00160000" w:csb1="00000000"/>
  </w:font>
  <w:font w:name="Kingsoft Sign">
    <w:panose1 w:val="05050102010706020507"/>
    <w:charset w:val="00"/>
    <w:family w:val="auto"/>
    <w:pitch w:val="default"/>
    <w:sig w:usb0="00000000" w:usb1="00000000" w:usb2="00000000" w:usb3="00000000" w:csb0="00000000" w:csb1="00000000"/>
  </w:font>
  <w:font w:name="Arial Bold">
    <w:panose1 w:val="020B0604020202020204"/>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480" w:lineRule="auto"/>
      </w:pPr>
      <w:r>
        <w:separator/>
      </w:r>
    </w:p>
  </w:footnote>
  <w:footnote w:type="continuationSeparator" w:id="1">
    <w:p>
      <w:pPr>
        <w:spacing w:line="48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2"/>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BEF792B8"/>
    <w:rsid w:val="BEF792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480" w:lineRule="auto"/>
    </w:pPr>
    <w:rPr>
      <w:rFonts w:ascii="Arial" w:hAnsi="Arial" w:eastAsia="Times New Roman" w:cs="Times New Roman"/>
      <w:szCs w:val="24"/>
      <w:lang w:val="en-US" w:eastAsia="en-US" w:bidi="ar-SA"/>
    </w:rPr>
  </w:style>
  <w:style w:type="paragraph" w:styleId="2">
    <w:name w:val="heading 1"/>
    <w:basedOn w:val="1"/>
    <w:next w:val="1"/>
    <w:qFormat/>
    <w:uiPriority w:val="0"/>
    <w:pPr>
      <w:keepNext/>
      <w:spacing w:before="240" w:after="60"/>
      <w:outlineLvl w:val="0"/>
    </w:pPr>
    <w:rPr>
      <w:rFonts w:cs="Arial"/>
      <w:b/>
      <w:bCs/>
      <w:kern w:val="32"/>
      <w:sz w:val="32"/>
      <w:szCs w:val="32"/>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annotation text"/>
    <w:basedOn w:val="1"/>
    <w:semiHidden/>
    <w:qFormat/>
    <w:uiPriority w:val="0"/>
    <w:rPr>
      <w:szCs w:val="20"/>
    </w:rPr>
  </w:style>
  <w:style w:type="paragraph" w:styleId="4">
    <w:name w:val="footer"/>
    <w:basedOn w:val="1"/>
    <w:qFormat/>
    <w:uiPriority w:val="0"/>
    <w:pPr>
      <w:tabs>
        <w:tab w:val="center" w:pos="4320"/>
        <w:tab w:val="right" w:pos="8640"/>
      </w:tabs>
    </w:pPr>
  </w:style>
  <w:style w:type="character" w:styleId="7">
    <w:name w:val="page number"/>
    <w:basedOn w:val="6"/>
    <w:qFormat/>
    <w:uiPriority w:val="0"/>
  </w:style>
  <w:style w:type="character" w:styleId="8">
    <w:name w:val="annotation reference"/>
    <w:semiHidden/>
    <w:qFormat/>
    <w:uiPriority w:val="0"/>
    <w:rPr>
      <w:sz w:val="16"/>
      <w:szCs w:val="1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Office_4.6.1.7467_F1E327BC-269C-435d-A152-05C5408002CA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2022-11-02T11:00:00Z</dcterms:created>
  <dc:creator>Jingya Li</dc:creator>
  <cp:lastModifiedBy>Jingya Li</cp:lastModifiedBy>
  <dcterms:modified xsi:type="dcterms:W3CDTF">2022-11-02T11:09:37Z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2052-4.6.1.7467</vt:lpwstr>
  </property>
  <property fmtid="{D5CDD505-2E9C-101B-9397-08002B2CF9AE}" pid="3" name="ICV">
    <vt:lpwstr>7DD12EC727885EAE60DD61632FCAC7FE</vt:lpwstr>
  </property>
</Properties>
</file>